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B94B" w14:textId="25CF7AE0" w:rsidR="00B61479" w:rsidRPr="004927ED" w:rsidRDefault="004927ED" w:rsidP="00B61479">
      <w:pPr>
        <w:jc w:val="both"/>
        <w:rPr>
          <w:rFonts w:ascii="Garamond" w:hAnsi="Garamond" w:cs="Arial"/>
          <w:sz w:val="24"/>
          <w:szCs w:val="24"/>
        </w:rPr>
      </w:pPr>
      <w:r w:rsidRPr="004927ED">
        <w:rPr>
          <w:rFonts w:ascii="Garamond" w:hAnsi="Garamond" w:cs="Arial"/>
          <w:b/>
          <w:sz w:val="24"/>
          <w:szCs w:val="24"/>
        </w:rPr>
        <w:t>Vzor nespotrebiteľskej rozhodcovskej doložky</w:t>
      </w:r>
      <w:r w:rsidR="0067749E">
        <w:rPr>
          <w:rFonts w:ascii="Garamond" w:hAnsi="Garamond" w:cs="Arial"/>
          <w:b/>
          <w:sz w:val="24"/>
          <w:szCs w:val="24"/>
        </w:rPr>
        <w:t xml:space="preserve"> a vzorové pravidlá RK</w:t>
      </w:r>
      <w:r w:rsidRPr="004927ED">
        <w:rPr>
          <w:rFonts w:ascii="Garamond" w:hAnsi="Garamond" w:cs="Arial"/>
          <w:b/>
          <w:sz w:val="24"/>
          <w:szCs w:val="24"/>
        </w:rPr>
        <w:t>:</w:t>
      </w:r>
    </w:p>
    <w:p w14:paraId="791004AD" w14:textId="77777777" w:rsidR="001B3A6E" w:rsidRDefault="00B61479" w:rsidP="001B3A6E">
      <w:pPr>
        <w:jc w:val="both"/>
        <w:rPr>
          <w:rFonts w:ascii="Garamond" w:hAnsi="Garamond" w:cs="Arial"/>
          <w:sz w:val="24"/>
          <w:szCs w:val="24"/>
        </w:rPr>
      </w:pPr>
      <w:r w:rsidRPr="004927ED">
        <w:rPr>
          <w:rFonts w:ascii="Garamond" w:hAnsi="Garamond" w:cs="Arial"/>
          <w:sz w:val="24"/>
          <w:szCs w:val="24"/>
        </w:rPr>
        <w:t>Akékoľvek spory, nezrovnalosti alebo nároky medzi zmluvnými stranam</w:t>
      </w:r>
      <w:r w:rsidR="004218D7" w:rsidRPr="004927ED">
        <w:rPr>
          <w:rFonts w:ascii="Garamond" w:hAnsi="Garamond" w:cs="Arial"/>
          <w:sz w:val="24"/>
          <w:szCs w:val="24"/>
        </w:rPr>
        <w:t xml:space="preserve">i vyplývajúce alebo súvisiace s touto zmluvou, </w:t>
      </w:r>
      <w:r w:rsidRPr="004927ED">
        <w:rPr>
          <w:rFonts w:ascii="Garamond" w:hAnsi="Garamond" w:cs="Arial"/>
          <w:sz w:val="24"/>
          <w:szCs w:val="24"/>
        </w:rPr>
        <w:t xml:space="preserve">budú riešené v rozhodcovskom konaní, v ktorom  rozhodcu na žiadosť </w:t>
      </w:r>
      <w:r w:rsidR="004218D7" w:rsidRPr="004927ED">
        <w:rPr>
          <w:rFonts w:ascii="Garamond" w:hAnsi="Garamond" w:cs="Arial"/>
          <w:sz w:val="24"/>
          <w:szCs w:val="24"/>
        </w:rPr>
        <w:t xml:space="preserve">jednej </w:t>
      </w:r>
      <w:r w:rsidRPr="004927ED">
        <w:rPr>
          <w:rFonts w:ascii="Garamond" w:hAnsi="Garamond" w:cs="Arial"/>
          <w:sz w:val="24"/>
          <w:szCs w:val="24"/>
        </w:rPr>
        <w:t>zmluvnej strany ustanoví alebo rozhodne o jeho odvolaní vybraná</w:t>
      </w:r>
      <w:r w:rsidR="004927ED">
        <w:rPr>
          <w:rFonts w:ascii="Garamond" w:hAnsi="Garamond" w:cs="Arial"/>
          <w:sz w:val="24"/>
          <w:szCs w:val="24"/>
        </w:rPr>
        <w:t xml:space="preserve"> právnická osoba </w:t>
      </w:r>
      <w:r w:rsidR="001B3A6E">
        <w:rPr>
          <w:rFonts w:ascii="Garamond" w:hAnsi="Garamond" w:cs="Arial"/>
          <w:sz w:val="24"/>
          <w:szCs w:val="24"/>
        </w:rPr>
        <w:t>(ďalej VPO</w:t>
      </w:r>
      <w:r w:rsidRPr="004927ED">
        <w:rPr>
          <w:rFonts w:ascii="Garamond" w:hAnsi="Garamond" w:cs="Arial"/>
          <w:sz w:val="24"/>
          <w:szCs w:val="24"/>
        </w:rPr>
        <w:t>)</w:t>
      </w:r>
      <w:r w:rsidR="001B3A6E">
        <w:rPr>
          <w:rFonts w:ascii="Garamond" w:hAnsi="Garamond" w:cs="Arial"/>
          <w:sz w:val="24"/>
          <w:szCs w:val="24"/>
        </w:rPr>
        <w:t xml:space="preserve">: </w:t>
      </w:r>
      <w:r w:rsidRPr="004927ED">
        <w:rPr>
          <w:rFonts w:ascii="Garamond" w:hAnsi="Garamond" w:cs="Arial"/>
          <w:sz w:val="24"/>
          <w:szCs w:val="24"/>
        </w:rPr>
        <w:t xml:space="preserve">Asociácia Slovenských arbitrážnych súdov, záujmové združenie právnických osôb, IČO: 45 744 939, so sídlom Krížna 56, 821 08 Bratislava, </w:t>
      </w:r>
      <w:r w:rsidR="001B3A6E" w:rsidRPr="001B3A6E">
        <w:rPr>
          <w:rFonts w:ascii="Garamond" w:hAnsi="Garamond" w:cs="Arial"/>
          <w:sz w:val="24"/>
          <w:szCs w:val="24"/>
        </w:rPr>
        <w:t>www.slas.sk</w:t>
      </w:r>
      <w:r w:rsidR="001B3A6E">
        <w:rPr>
          <w:rFonts w:ascii="Garamond" w:hAnsi="Garamond" w:cs="Arial"/>
          <w:sz w:val="24"/>
          <w:szCs w:val="24"/>
        </w:rPr>
        <w:t>, email: podatelna@slas.sk.</w:t>
      </w:r>
      <w:r w:rsidRPr="004927ED">
        <w:rPr>
          <w:rFonts w:ascii="Garamond" w:hAnsi="Garamond" w:cs="Arial"/>
          <w:sz w:val="24"/>
          <w:szCs w:val="24"/>
        </w:rPr>
        <w:t xml:space="preserve"> Podanie žaloby do sídla vybranej právnickej osoby, ktoré je aj miestom rozhodcovského konania, sa považuje aj za žiadosť o ustanovenie rozh</w:t>
      </w:r>
      <w:r w:rsidR="004218D7" w:rsidRPr="004927ED">
        <w:rPr>
          <w:rFonts w:ascii="Garamond" w:hAnsi="Garamond" w:cs="Arial"/>
          <w:sz w:val="24"/>
          <w:szCs w:val="24"/>
        </w:rPr>
        <w:t>odcu</w:t>
      </w:r>
      <w:r w:rsidRPr="004927ED">
        <w:rPr>
          <w:rFonts w:ascii="Garamond" w:hAnsi="Garamond" w:cs="Arial"/>
          <w:sz w:val="24"/>
          <w:szCs w:val="24"/>
        </w:rPr>
        <w:t xml:space="preserve">. </w:t>
      </w:r>
    </w:p>
    <w:p w14:paraId="22734B3A" w14:textId="197A049F" w:rsidR="001B3A6E" w:rsidRPr="001B3A6E" w:rsidRDefault="001B3A6E" w:rsidP="001B3A6E">
      <w:pPr>
        <w:jc w:val="both"/>
        <w:rPr>
          <w:rFonts w:ascii="Garamond" w:hAnsi="Garamond" w:cs="Arial"/>
          <w:sz w:val="24"/>
          <w:szCs w:val="24"/>
        </w:rPr>
      </w:pPr>
      <w:r w:rsidRPr="001B3A6E">
        <w:rPr>
          <w:rFonts w:ascii="Garamond" w:hAnsi="Garamond" w:cs="Arial"/>
          <w:sz w:val="24"/>
          <w:szCs w:val="24"/>
        </w:rPr>
        <w:t>Rozhodcovské konanie začína doručením žaloby VPO alebo rozhodcovi. Žaloba sa podáva cestou elektronickej pošty na emailovú adresu VPO či rozhodcu, pričom musí byť podpísaná zaručeným elektronickým podpisom. Ak to nie je možné, žalobu je možné podať cestou poštového podniku alebo iných vhodným spôsobom, pričom žaloba musí byť doručená s prílohami v potrebnom počte vyhotovení a</w:t>
      </w:r>
      <w:r>
        <w:rPr>
          <w:rFonts w:ascii="Garamond" w:hAnsi="Garamond" w:cs="Arial"/>
          <w:sz w:val="24"/>
          <w:szCs w:val="24"/>
        </w:rPr>
        <w:t> </w:t>
      </w:r>
      <w:r w:rsidRPr="001B3A6E">
        <w:rPr>
          <w:rFonts w:ascii="Garamond" w:hAnsi="Garamond" w:cs="Arial"/>
          <w:sz w:val="24"/>
          <w:szCs w:val="24"/>
        </w:rPr>
        <w:t>aj</w:t>
      </w:r>
      <w:r>
        <w:rPr>
          <w:rFonts w:ascii="Garamond" w:hAnsi="Garamond" w:cs="Arial"/>
          <w:sz w:val="24"/>
          <w:szCs w:val="24"/>
        </w:rPr>
        <w:t xml:space="preserve"> </w:t>
      </w:r>
      <w:r w:rsidRPr="001B3A6E">
        <w:rPr>
          <w:rFonts w:ascii="Garamond" w:hAnsi="Garamond" w:cs="Arial"/>
          <w:sz w:val="24"/>
          <w:szCs w:val="24"/>
        </w:rPr>
        <w:t xml:space="preserve">elektronicky na email v editovateľnom formáte. Lehota na podanie žalobnej odpovede je 7 dní ak rozhodca neurčí dlhšiu lehotu. </w:t>
      </w:r>
    </w:p>
    <w:p w14:paraId="69B460E5" w14:textId="3E9B456A" w:rsidR="001B3A6E" w:rsidRDefault="001B3A6E" w:rsidP="001B3A6E">
      <w:pPr>
        <w:jc w:val="both"/>
        <w:rPr>
          <w:rFonts w:ascii="Garamond" w:hAnsi="Garamond" w:cs="Arial"/>
          <w:sz w:val="24"/>
          <w:szCs w:val="24"/>
        </w:rPr>
      </w:pPr>
      <w:r w:rsidRPr="001B3A6E">
        <w:rPr>
          <w:rFonts w:ascii="Garamond" w:hAnsi="Garamond" w:cs="Arial"/>
          <w:sz w:val="24"/>
          <w:szCs w:val="24"/>
        </w:rPr>
        <w:t>Rozhodcovské konanie bude zásadne písomné, rozhodca však môže v prípade potreby ústne pojednávanie nariadiť. Rozhodcovské konanie sa vedie v slovenskom jazyku. Písomnosti sa predkladajú v slovenskom jazyku alebo v českom jazyku alebo v preklade do slovenského alebo do českého jazyka. Obchodnoprávny spor môže rozhodca rozhodnúť podľa zásad spravodlivosti. Rozhodcovský rozsudok rozhodca nemusí odôvodniť.</w:t>
      </w:r>
    </w:p>
    <w:p w14:paraId="07D1EF5E" w14:textId="129F9018" w:rsidR="001B3A6E" w:rsidRDefault="001B3A6E" w:rsidP="001B3A6E">
      <w:pPr>
        <w:jc w:val="both"/>
        <w:rPr>
          <w:rFonts w:ascii="Garamond" w:hAnsi="Garamond" w:cs="Arial"/>
          <w:sz w:val="24"/>
          <w:szCs w:val="24"/>
        </w:rPr>
      </w:pPr>
      <w:r w:rsidRPr="001B3A6E">
        <w:rPr>
          <w:rFonts w:ascii="Garamond" w:hAnsi="Garamond" w:cs="Arial"/>
          <w:sz w:val="24"/>
          <w:szCs w:val="24"/>
        </w:rPr>
        <w:t>Písomnosti doručuje VPO alebo rozhodca účastníkom konania zásadne elektronickou poštou, vrátane žaloby a rozhodnutí, ak to zákon nevylučuje a ak to nie je možné, iným vhodným spôsobom a to na emailovú alebo poštovú adresu, ktorú adresát uviedol v dokumente, ktorého súčasťou je rozhodcovská doložka alebo z ktorej adresát doručil elektronické podanie rozhodcovi alebo zistenú z verejne dostupných zdrojov. Písomnosť sa považuje za doručenú piaty deň od dňa odoslania zásielky poštou alebo tretí deň v prípade odoslania správy emailom, pokiaľ nedôjde k potvrdeniu prevzatia skôr. Účastníci a ich zástupcovia sú povinní bezodkladne VPO alebo rozhodcovi písomne oznámiť zmenu poštovej či elektronickej adresy pre doručovanie</w:t>
      </w:r>
      <w:r>
        <w:rPr>
          <w:rFonts w:ascii="Garamond" w:hAnsi="Garamond" w:cs="Arial"/>
          <w:sz w:val="24"/>
          <w:szCs w:val="24"/>
        </w:rPr>
        <w:t>.</w:t>
      </w:r>
    </w:p>
    <w:p w14:paraId="047E76CF" w14:textId="44E91E66" w:rsidR="001B3A6E" w:rsidRPr="004927ED" w:rsidRDefault="001B3A6E" w:rsidP="001B3A6E">
      <w:pPr>
        <w:jc w:val="both"/>
        <w:rPr>
          <w:rFonts w:ascii="Garamond" w:hAnsi="Garamond" w:cs="Arial"/>
          <w:sz w:val="24"/>
          <w:szCs w:val="24"/>
        </w:rPr>
      </w:pPr>
      <w:r>
        <w:rPr>
          <w:rFonts w:ascii="Garamond" w:hAnsi="Garamond" w:cs="Arial"/>
          <w:sz w:val="24"/>
          <w:szCs w:val="24"/>
        </w:rPr>
        <w:t xml:space="preserve">Pre poplatky, náhrady a trovy rozhodcovského konania platia ustanovenia </w:t>
      </w:r>
      <w:r w:rsidR="00F74F41">
        <w:rPr>
          <w:rFonts w:ascii="Garamond" w:hAnsi="Garamond" w:cs="Arial"/>
          <w:sz w:val="24"/>
          <w:szCs w:val="24"/>
        </w:rPr>
        <w:t>„</w:t>
      </w:r>
      <w:r>
        <w:rPr>
          <w:rFonts w:ascii="Garamond" w:hAnsi="Garamond" w:cs="Arial"/>
          <w:sz w:val="24"/>
          <w:szCs w:val="24"/>
        </w:rPr>
        <w:t>Pravidiel o trovách rozhodcovského konania</w:t>
      </w:r>
      <w:r w:rsidR="00F74F41">
        <w:rPr>
          <w:rFonts w:ascii="Garamond" w:hAnsi="Garamond" w:cs="Arial"/>
          <w:sz w:val="24"/>
          <w:szCs w:val="24"/>
        </w:rPr>
        <w:t>“</w:t>
      </w:r>
      <w:r>
        <w:rPr>
          <w:rFonts w:ascii="Garamond" w:hAnsi="Garamond" w:cs="Arial"/>
          <w:sz w:val="24"/>
          <w:szCs w:val="24"/>
        </w:rPr>
        <w:t xml:space="preserve"> zverejnené na web sídle </w:t>
      </w:r>
      <w:r w:rsidRPr="001B3A6E">
        <w:rPr>
          <w:rFonts w:ascii="Garamond" w:hAnsi="Garamond" w:cs="Arial"/>
          <w:sz w:val="24"/>
          <w:szCs w:val="24"/>
        </w:rPr>
        <w:t>www.slas.sk</w:t>
      </w:r>
      <w:r>
        <w:rPr>
          <w:rFonts w:ascii="Garamond" w:hAnsi="Garamond" w:cs="Arial"/>
          <w:sz w:val="24"/>
          <w:szCs w:val="24"/>
        </w:rPr>
        <w:t xml:space="preserve">. </w:t>
      </w:r>
    </w:p>
    <w:p w14:paraId="37BA9D85" w14:textId="0A81052E" w:rsidR="001B3A6E" w:rsidRPr="004927ED" w:rsidRDefault="001B3A6E" w:rsidP="001B3A6E">
      <w:pPr>
        <w:jc w:val="both"/>
        <w:rPr>
          <w:rFonts w:ascii="Garamond" w:hAnsi="Garamond" w:cs="Arial"/>
          <w:sz w:val="24"/>
          <w:szCs w:val="24"/>
        </w:rPr>
      </w:pPr>
    </w:p>
    <w:sectPr w:rsidR="001B3A6E" w:rsidRPr="004927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9469D"/>
    <w:multiLevelType w:val="multilevel"/>
    <w:tmpl w:val="FA6A55C8"/>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794"/>
        </w:tabs>
        <w:ind w:left="794" w:hanging="397"/>
      </w:pPr>
      <w:rPr>
        <w:rFonts w:ascii="Wingdings" w:hAnsi="Wingdings" w:hint="default"/>
        <w:b w:val="0"/>
      </w:rPr>
    </w:lvl>
    <w:lvl w:ilvl="2">
      <w:start w:val="1"/>
      <w:numFmt w:val="decimal"/>
      <w:lvlText w:val="%1.%2.%3"/>
      <w:lvlJc w:val="left"/>
      <w:pPr>
        <w:tabs>
          <w:tab w:val="num" w:pos="1134"/>
        </w:tabs>
        <w:ind w:left="0" w:firstLine="0"/>
      </w:pPr>
      <w:rPr>
        <w:rFonts w:hint="default"/>
        <w:color w:val="auto"/>
      </w:rPr>
    </w:lvl>
    <w:lvl w:ilvl="3">
      <w:start w:val="1"/>
      <w:numFmt w:val="lowerLetter"/>
      <w:lvlRestart w:val="0"/>
      <w:lvlText w:val="%4)"/>
      <w:lvlJc w:val="left"/>
      <w:pPr>
        <w:tabs>
          <w:tab w:val="num" w:pos="1531"/>
        </w:tabs>
        <w:ind w:left="1531" w:hanging="397"/>
      </w:pPr>
      <w:rPr>
        <w:rFonts w:hint="default"/>
        <w:color w:val="auto"/>
      </w:rPr>
    </w:lvl>
    <w:lvl w:ilvl="4">
      <w:start w:val="1"/>
      <w:numFmt w:val="bullet"/>
      <w:lvlRestart w:val="0"/>
      <w:lvlText w:val=""/>
      <w:lvlJc w:val="left"/>
      <w:pPr>
        <w:tabs>
          <w:tab w:val="num" w:pos="1814"/>
        </w:tabs>
        <w:ind w:left="1814" w:hanging="283"/>
      </w:pPr>
      <w:rPr>
        <w:rFonts w:ascii="Wingdings" w:hAnsi="Wingdings" w:hint="default"/>
      </w:rPr>
    </w:lvl>
    <w:lvl w:ilvl="5">
      <w:start w:val="1"/>
      <w:numFmt w:val="decimal"/>
      <w:lvlText w:val="%1.%2.%3.%4.%5.%6."/>
      <w:lvlJc w:val="left"/>
      <w:pPr>
        <w:tabs>
          <w:tab w:val="num" w:pos="2880"/>
        </w:tabs>
        <w:ind w:left="2736" w:hanging="936"/>
      </w:pPr>
      <w:rPr>
        <w:rFonts w:hint="default"/>
        <w:color w:val="FF0000"/>
      </w:rPr>
    </w:lvl>
    <w:lvl w:ilvl="6">
      <w:start w:val="1"/>
      <w:numFmt w:val="decimal"/>
      <w:lvlText w:val="%1.%2.%3.%4.%5.%6.%7."/>
      <w:lvlJc w:val="left"/>
      <w:pPr>
        <w:tabs>
          <w:tab w:val="num" w:pos="3600"/>
        </w:tabs>
        <w:ind w:left="3240" w:hanging="1080"/>
      </w:pPr>
      <w:rPr>
        <w:rFonts w:hint="default"/>
        <w:color w:val="FF0000"/>
      </w:rPr>
    </w:lvl>
    <w:lvl w:ilvl="7">
      <w:start w:val="1"/>
      <w:numFmt w:val="decimal"/>
      <w:lvlText w:val="%1.%2.%3.%4.%5.%6.%7.%8."/>
      <w:lvlJc w:val="left"/>
      <w:pPr>
        <w:tabs>
          <w:tab w:val="num" w:pos="3960"/>
        </w:tabs>
        <w:ind w:left="3744" w:hanging="1224"/>
      </w:pPr>
      <w:rPr>
        <w:rFonts w:hint="default"/>
        <w:color w:val="FF0000"/>
      </w:rPr>
    </w:lvl>
    <w:lvl w:ilvl="8">
      <w:start w:val="1"/>
      <w:numFmt w:val="decimal"/>
      <w:lvlText w:val="%1.%2.%3.%4.%5.%6.%7.%8.%9."/>
      <w:lvlJc w:val="left"/>
      <w:pPr>
        <w:tabs>
          <w:tab w:val="num" w:pos="4680"/>
        </w:tabs>
        <w:ind w:left="4320" w:hanging="1440"/>
      </w:pPr>
      <w:rPr>
        <w:rFonts w:hint="default"/>
        <w:color w:val="FF0000"/>
      </w:rPr>
    </w:lvl>
  </w:abstractNum>
  <w:num w:numId="1" w16cid:durableId="31885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479"/>
    <w:rsid w:val="00062DEE"/>
    <w:rsid w:val="001B3A6E"/>
    <w:rsid w:val="001B3C0C"/>
    <w:rsid w:val="00297228"/>
    <w:rsid w:val="00401900"/>
    <w:rsid w:val="004218D7"/>
    <w:rsid w:val="004927ED"/>
    <w:rsid w:val="004F5D18"/>
    <w:rsid w:val="005B5279"/>
    <w:rsid w:val="0067749E"/>
    <w:rsid w:val="00840329"/>
    <w:rsid w:val="00AA663B"/>
    <w:rsid w:val="00B13E59"/>
    <w:rsid w:val="00B61479"/>
    <w:rsid w:val="00C0203C"/>
    <w:rsid w:val="00E80C34"/>
    <w:rsid w:val="00E911C1"/>
    <w:rsid w:val="00F74F41"/>
    <w:rsid w:val="00FF52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403B"/>
  <w15:chartTrackingRefBased/>
  <w15:docId w15:val="{CA6AAD08-4A7E-407C-AE06-29C0D80F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61479"/>
    <w:rPr>
      <w:color w:val="0000FF"/>
      <w:u w:val="single"/>
    </w:rPr>
  </w:style>
  <w:style w:type="character" w:styleId="Nevyrieenzmienka">
    <w:name w:val="Unresolved Mention"/>
    <w:basedOn w:val="Predvolenpsmoodseku"/>
    <w:uiPriority w:val="99"/>
    <w:semiHidden/>
    <w:unhideWhenUsed/>
    <w:rsid w:val="001B3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Marek M</cp:lastModifiedBy>
  <cp:revision>8</cp:revision>
  <dcterms:created xsi:type="dcterms:W3CDTF">2016-11-25T12:54:00Z</dcterms:created>
  <dcterms:modified xsi:type="dcterms:W3CDTF">2025-03-20T10:33:00Z</dcterms:modified>
</cp:coreProperties>
</file>